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0" w:type="dxa"/>
        <w:tblLayout w:type="fixed"/>
        <w:tblLook w:val="04A0" w:firstRow="1" w:lastRow="0" w:firstColumn="1" w:lastColumn="0" w:noHBand="0" w:noVBand="1"/>
      </w:tblPr>
      <w:tblGrid>
        <w:gridCol w:w="720"/>
        <w:gridCol w:w="8064"/>
        <w:gridCol w:w="2736"/>
        <w:gridCol w:w="720"/>
      </w:tblGrid>
      <w:tr w:rsidR="00D36264" w14:paraId="3EC29513" w14:textId="77777777">
        <w:tc>
          <w:tcPr>
            <w:tcW w:w="720" w:type="dxa"/>
            <w:tcBorders>
              <w:bottom w:val="single" w:sz="22" w:space="0" w:color="CEB888"/>
            </w:tcBorders>
            <w:shd w:val="clear" w:color="auto" w:fill="000000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334D3DC9" w14:textId="77777777" w:rsidR="00D36264" w:rsidRDefault="00D36264"/>
        </w:tc>
        <w:tc>
          <w:tcPr>
            <w:tcW w:w="8064" w:type="dxa"/>
            <w:tcBorders>
              <w:bottom w:val="single" w:sz="22" w:space="0" w:color="CEB888"/>
            </w:tcBorders>
            <w:shd w:val="clear" w:color="auto" w:fill="000000"/>
            <w:tcMar>
              <w:top w:w="170" w:type="dxa"/>
              <w:left w:w="20" w:type="dxa"/>
              <w:bottom w:w="170" w:type="dxa"/>
              <w:right w:w="120" w:type="dxa"/>
            </w:tcMar>
            <w:vAlign w:val="center"/>
          </w:tcPr>
          <w:p w14:paraId="35481E57" w14:textId="77777777" w:rsidR="00D36264" w:rsidRDefault="00000000">
            <w:pPr>
              <w:spacing w:after="0"/>
            </w:pPr>
            <w:r>
              <w:rPr>
                <w:b/>
                <w:color w:val="CEB888"/>
                <w:spacing w:val="50"/>
                <w:sz w:val="30"/>
              </w:rPr>
              <w:t>PURDUE</w:t>
            </w:r>
            <w:r>
              <w:rPr>
                <w:b/>
                <w:color w:val="FFFFFF"/>
                <w:spacing w:val="24"/>
                <w:sz w:val="30"/>
              </w:rPr>
              <w:t xml:space="preserve">  STUDENT MANAGED INVESTMENT FUND</w:t>
            </w:r>
          </w:p>
          <w:p w14:paraId="2AC0ACAC" w14:textId="77777777" w:rsidR="00D36264" w:rsidRDefault="00000000">
            <w:pPr>
              <w:spacing w:before="60" w:after="0"/>
            </w:pPr>
            <w:r>
              <w:rPr>
                <w:color w:val="CFCFCF"/>
                <w:spacing w:val="40"/>
                <w:sz w:val="17"/>
              </w:rPr>
              <w:t>EQUITY RESEARCH    ·    COMPARABLE COMPANY ANALYSIS</w:t>
            </w:r>
          </w:p>
        </w:tc>
        <w:tc>
          <w:tcPr>
            <w:tcW w:w="2736" w:type="dxa"/>
            <w:tcBorders>
              <w:bottom w:val="single" w:sz="22" w:space="0" w:color="CEB888"/>
            </w:tcBorders>
            <w:shd w:val="clear" w:color="auto" w:fill="000000"/>
            <w:tcMar>
              <w:top w:w="170" w:type="dxa"/>
              <w:left w:w="120" w:type="dxa"/>
              <w:bottom w:w="170" w:type="dxa"/>
              <w:right w:w="20" w:type="dxa"/>
            </w:tcMar>
            <w:vAlign w:val="center"/>
          </w:tcPr>
          <w:p w14:paraId="3CAD1DBF" w14:textId="77777777" w:rsidR="00D36264" w:rsidRDefault="00000000">
            <w:pPr>
              <w:spacing w:after="0"/>
              <w:jc w:val="right"/>
            </w:pPr>
            <w:r>
              <w:rPr>
                <w:b/>
                <w:color w:val="CEB888"/>
                <w:spacing w:val="40"/>
                <w:sz w:val="30"/>
              </w:rPr>
              <w:t>AMZN</w:t>
            </w:r>
          </w:p>
          <w:p w14:paraId="585B0B5E" w14:textId="77777777" w:rsidR="00D36264" w:rsidRDefault="00000000">
            <w:pPr>
              <w:spacing w:before="60" w:after="0"/>
              <w:jc w:val="right"/>
            </w:pPr>
            <w:r>
              <w:rPr>
                <w:color w:val="9B9EA4"/>
                <w:spacing w:val="30"/>
                <w:sz w:val="16"/>
              </w:rPr>
              <w:t>AS OF JUNE 9, 2026</w:t>
            </w:r>
          </w:p>
        </w:tc>
        <w:tc>
          <w:tcPr>
            <w:tcW w:w="720" w:type="dxa"/>
            <w:tcBorders>
              <w:bottom w:val="single" w:sz="22" w:space="0" w:color="CEB888"/>
            </w:tcBorders>
            <w:shd w:val="clear" w:color="auto" w:fill="000000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37CFECF7" w14:textId="77777777" w:rsidR="00D36264" w:rsidRDefault="00D36264"/>
        </w:tc>
      </w:tr>
    </w:tbl>
    <w:p w14:paraId="5D6D1911" w14:textId="53CF3577" w:rsidR="00D36264" w:rsidRDefault="00D82452">
      <w:r>
        <w:br/>
      </w:r>
      <w:r w:rsidR="00000000">
        <w:rPr>
          <w:b/>
          <w:color w:val="000000"/>
          <w:sz w:val="40"/>
        </w:rPr>
        <w:t xml:space="preserve">Amazon.com, Inc.   </w:t>
      </w:r>
      <w:r w:rsidR="00000000">
        <w:rPr>
          <w:sz w:val="26"/>
        </w:rPr>
        <w:t>(AMZN  |  NASDAQ)</w:t>
      </w:r>
    </w:p>
    <w:p w14:paraId="3D677F49" w14:textId="77777777" w:rsidR="00D36264" w:rsidRDefault="00000000">
      <w:pPr>
        <w:spacing w:after="140"/>
      </w:pPr>
      <w:r>
        <w:rPr>
          <w:spacing w:val="30"/>
          <w:sz w:val="17"/>
        </w:rPr>
        <w:t>CONSUMER DISCRETIONARY   ·   INTERNET RETAIL &amp; CLOUD COMPUTING          ANALYST: IAN TEH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</w:tblGrid>
      <w:tr w:rsidR="00D36264" w14:paraId="3F941471" w14:textId="77777777">
        <w:tc>
          <w:tcPr>
            <w:tcW w:w="2160" w:type="dxa"/>
            <w:shd w:val="clear" w:color="auto" w:fill="000000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468AF2C1" w14:textId="77777777" w:rsidR="00D36264" w:rsidRDefault="00000000">
            <w:pPr>
              <w:spacing w:after="0"/>
              <w:jc w:val="center"/>
            </w:pPr>
            <w:r>
              <w:rPr>
                <w:b/>
                <w:color w:val="FFFFFF"/>
                <w:spacing w:val="15"/>
                <w:sz w:val="16"/>
              </w:rPr>
              <w:t>RELATIVE VALUE</w:t>
            </w:r>
          </w:p>
        </w:tc>
        <w:tc>
          <w:tcPr>
            <w:tcW w:w="2160" w:type="dxa"/>
            <w:shd w:val="clear" w:color="auto" w:fill="000000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5B8FAAC8" w14:textId="77777777" w:rsidR="00D36264" w:rsidRDefault="00000000">
            <w:pPr>
              <w:spacing w:after="0"/>
              <w:jc w:val="center"/>
            </w:pPr>
            <w:r>
              <w:rPr>
                <w:b/>
                <w:color w:val="FFFFFF"/>
                <w:spacing w:val="15"/>
                <w:sz w:val="16"/>
              </w:rPr>
              <w:t>AMZN EV/EBITDA</w:t>
            </w:r>
          </w:p>
        </w:tc>
        <w:tc>
          <w:tcPr>
            <w:tcW w:w="2160" w:type="dxa"/>
            <w:shd w:val="clear" w:color="auto" w:fill="000000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31979E3D" w14:textId="77777777" w:rsidR="00D36264" w:rsidRDefault="00000000">
            <w:pPr>
              <w:spacing w:after="0"/>
              <w:jc w:val="center"/>
            </w:pPr>
            <w:r>
              <w:rPr>
                <w:b/>
                <w:color w:val="FFFFFF"/>
                <w:spacing w:val="15"/>
                <w:sz w:val="16"/>
              </w:rPr>
              <w:t>PEER MEDIAN</w:t>
            </w:r>
          </w:p>
        </w:tc>
        <w:tc>
          <w:tcPr>
            <w:tcW w:w="2160" w:type="dxa"/>
            <w:shd w:val="clear" w:color="auto" w:fill="000000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209E4D00" w14:textId="77777777" w:rsidR="00D36264" w:rsidRDefault="00000000">
            <w:pPr>
              <w:spacing w:after="0"/>
              <w:jc w:val="center"/>
            </w:pPr>
            <w:r>
              <w:rPr>
                <w:b/>
                <w:color w:val="FFFFFF"/>
                <w:spacing w:val="15"/>
                <w:sz w:val="16"/>
              </w:rPr>
              <w:t>IMPLIED (WTD)</w:t>
            </w:r>
          </w:p>
        </w:tc>
        <w:tc>
          <w:tcPr>
            <w:tcW w:w="2160" w:type="dxa"/>
            <w:shd w:val="clear" w:color="auto" w:fill="000000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73FCAD5F" w14:textId="77777777" w:rsidR="00D36264" w:rsidRDefault="00000000">
            <w:pPr>
              <w:spacing w:after="0"/>
              <w:jc w:val="center"/>
            </w:pPr>
            <w:r>
              <w:rPr>
                <w:b/>
                <w:color w:val="FFFFFF"/>
                <w:spacing w:val="15"/>
                <w:sz w:val="16"/>
              </w:rPr>
              <w:t>vs. PRICE $244</w:t>
            </w:r>
          </w:p>
        </w:tc>
      </w:tr>
      <w:tr w:rsidR="00D36264" w14:paraId="336C9A61" w14:textId="77777777">
        <w:tc>
          <w:tcPr>
            <w:tcW w:w="2160" w:type="dxa"/>
            <w:shd w:val="clear" w:color="auto" w:fill="F5F2EC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2EE10181" w14:textId="77777777" w:rsidR="00D36264" w:rsidRDefault="00000000">
            <w:pPr>
              <w:spacing w:after="0"/>
              <w:jc w:val="center"/>
            </w:pPr>
            <w:r>
              <w:rPr>
                <w:b/>
                <w:color w:val="000000"/>
                <w:sz w:val="25"/>
              </w:rPr>
              <w:t>NEUTRAL</w:t>
            </w:r>
          </w:p>
        </w:tc>
        <w:tc>
          <w:tcPr>
            <w:tcW w:w="2160" w:type="dxa"/>
            <w:shd w:val="clear" w:color="auto" w:fill="F5F2EC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9036C29" w14:textId="77777777" w:rsidR="00D36264" w:rsidRDefault="00000000">
            <w:pPr>
              <w:spacing w:after="0"/>
              <w:jc w:val="center"/>
            </w:pPr>
            <w:r>
              <w:rPr>
                <w:b/>
                <w:color w:val="000000"/>
                <w:sz w:val="25"/>
              </w:rPr>
              <w:t>17.5x</w:t>
            </w:r>
          </w:p>
        </w:tc>
        <w:tc>
          <w:tcPr>
            <w:tcW w:w="2160" w:type="dxa"/>
            <w:shd w:val="clear" w:color="auto" w:fill="F5F2EC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3592082" w14:textId="77777777" w:rsidR="00D36264" w:rsidRDefault="00000000">
            <w:pPr>
              <w:spacing w:after="0"/>
              <w:jc w:val="center"/>
            </w:pPr>
            <w:r>
              <w:rPr>
                <w:b/>
                <w:color w:val="000000"/>
                <w:sz w:val="25"/>
              </w:rPr>
              <w:t>22.4x</w:t>
            </w:r>
          </w:p>
        </w:tc>
        <w:tc>
          <w:tcPr>
            <w:tcW w:w="2160" w:type="dxa"/>
            <w:shd w:val="clear" w:color="auto" w:fill="E8D9A0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D40FD3B" w14:textId="77777777" w:rsidR="00D36264" w:rsidRDefault="00000000">
            <w:pPr>
              <w:spacing w:after="0"/>
              <w:jc w:val="center"/>
            </w:pPr>
            <w:r>
              <w:rPr>
                <w:b/>
                <w:color w:val="000000"/>
                <w:sz w:val="25"/>
              </w:rPr>
              <w:t>$270</w:t>
            </w:r>
          </w:p>
        </w:tc>
        <w:tc>
          <w:tcPr>
            <w:tcW w:w="2160" w:type="dxa"/>
            <w:shd w:val="clear" w:color="auto" w:fill="F5F2EC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13FB0C0" w14:textId="77777777" w:rsidR="00D36264" w:rsidRDefault="00000000">
            <w:pPr>
              <w:spacing w:after="0"/>
              <w:jc w:val="center"/>
            </w:pPr>
            <w:r>
              <w:rPr>
                <w:b/>
                <w:color w:val="000000"/>
                <w:sz w:val="25"/>
              </w:rPr>
              <w:t>+11%</w:t>
            </w:r>
          </w:p>
        </w:tc>
      </w:tr>
    </w:tbl>
    <w:p w14:paraId="686B52FA" w14:textId="77777777" w:rsidR="00D36264" w:rsidRDefault="00000000">
      <w:pPr>
        <w:spacing w:before="160"/>
      </w:pPr>
      <w:r>
        <w:rPr>
          <w:b/>
          <w:color w:val="000000"/>
          <w:sz w:val="22"/>
        </w:rPr>
        <w:t>Approach</w:t>
      </w:r>
    </w:p>
    <w:p w14:paraId="785B358E" w14:textId="77777777" w:rsidR="00D36264" w:rsidRDefault="00000000">
      <w:r>
        <w:t>Amazon has no pure comparable. We triangulate across its three value drivers — cloud (AWS), advertising, and retail — using two peer groups: Cloud / Platform (Microsoft, Alphabet, Meta, Apple) and Global E-Commerce / Retail (Walmart, Alibaba, MercadoLibre). All figures are trailing twelve months, with market data as of June 9, 2026.</w:t>
      </w:r>
    </w:p>
    <w:p w14:paraId="15D30A07" w14:textId="77777777" w:rsidR="00D82452" w:rsidRDefault="00D82452"/>
    <w:p w14:paraId="5E2288A3" w14:textId="76310FCF" w:rsidR="00D36264" w:rsidRDefault="00000000">
      <w:r>
        <w:t>The metric choice is deliberate. EV/EBITDA is the primary lens: it is neutral to capital structure and to the wide margin gaps across this set. Forward P/E is the earnings cross-check. We exclude EV/Revenue as a valuation anchor — peer sales multiples embed 35% to 58% EBITDA margins against Amazon’s 21% — and we flag free-cash-flow yield, which is negative on the capex super-cycle</w:t>
      </w:r>
      <w:r w:rsidR="00991CBB">
        <w:t xml:space="preserve"> this year</w:t>
      </w:r>
      <w:r>
        <w:t>.</w:t>
      </w:r>
    </w:p>
    <w:p w14:paraId="6DE0BF63" w14:textId="5C34695C" w:rsidR="00D36264" w:rsidRDefault="00D82452">
      <w:pPr>
        <w:spacing w:before="140"/>
      </w:pPr>
      <w:r>
        <w:rPr>
          <w:b/>
          <w:color w:val="000000"/>
          <w:sz w:val="22"/>
        </w:rPr>
        <w:br/>
      </w:r>
      <w:r w:rsidR="00000000">
        <w:rPr>
          <w:b/>
          <w:color w:val="000000"/>
          <w:sz w:val="22"/>
        </w:rPr>
        <w:t>Subject vs. Peer Group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0"/>
        <w:gridCol w:w="1891"/>
        <w:gridCol w:w="2106"/>
        <w:gridCol w:w="2253"/>
      </w:tblGrid>
      <w:tr w:rsidR="00D36264" w14:paraId="47854692" w14:textId="77777777">
        <w:tc>
          <w:tcPr>
            <w:tcW w:w="4896" w:type="dxa"/>
            <w:shd w:val="clear" w:color="auto" w:fill="000000"/>
            <w:tcMar>
              <w:top w:w="32" w:type="dxa"/>
              <w:left w:w="90" w:type="dxa"/>
              <w:bottom w:w="32" w:type="dxa"/>
              <w:right w:w="90" w:type="dxa"/>
            </w:tcMar>
          </w:tcPr>
          <w:p w14:paraId="621B2190" w14:textId="77777777" w:rsidR="00D36264" w:rsidRDefault="00000000">
            <w:pPr>
              <w:spacing w:after="0"/>
            </w:pPr>
            <w:r>
              <w:rPr>
                <w:b/>
                <w:color w:val="FFFFFF"/>
                <w:spacing w:val="15"/>
                <w:sz w:val="17"/>
              </w:rPr>
              <w:t>METRIC</w:t>
            </w:r>
          </w:p>
        </w:tc>
        <w:tc>
          <w:tcPr>
            <w:tcW w:w="1944" w:type="dxa"/>
            <w:shd w:val="clear" w:color="auto" w:fill="000000"/>
            <w:tcMar>
              <w:top w:w="32" w:type="dxa"/>
              <w:left w:w="90" w:type="dxa"/>
              <w:bottom w:w="32" w:type="dxa"/>
              <w:right w:w="90" w:type="dxa"/>
            </w:tcMar>
          </w:tcPr>
          <w:p w14:paraId="45E38108" w14:textId="77777777" w:rsidR="00D36264" w:rsidRDefault="00000000">
            <w:pPr>
              <w:spacing w:after="0"/>
              <w:jc w:val="center"/>
            </w:pPr>
            <w:r>
              <w:rPr>
                <w:b/>
                <w:color w:val="FFFFFF"/>
                <w:spacing w:val="15"/>
                <w:sz w:val="17"/>
              </w:rPr>
              <w:t>AMZN</w:t>
            </w:r>
          </w:p>
        </w:tc>
        <w:tc>
          <w:tcPr>
            <w:tcW w:w="2160" w:type="dxa"/>
            <w:shd w:val="clear" w:color="auto" w:fill="000000"/>
            <w:tcMar>
              <w:top w:w="32" w:type="dxa"/>
              <w:left w:w="90" w:type="dxa"/>
              <w:bottom w:w="32" w:type="dxa"/>
              <w:right w:w="90" w:type="dxa"/>
            </w:tcMar>
          </w:tcPr>
          <w:p w14:paraId="43D9E314" w14:textId="77777777" w:rsidR="00D36264" w:rsidRDefault="00000000">
            <w:pPr>
              <w:spacing w:after="0"/>
              <w:jc w:val="center"/>
            </w:pPr>
            <w:r>
              <w:rPr>
                <w:b/>
                <w:color w:val="FFFFFF"/>
                <w:spacing w:val="15"/>
                <w:sz w:val="17"/>
              </w:rPr>
              <w:t>PEER MEDIAN (7)</w:t>
            </w:r>
          </w:p>
        </w:tc>
        <w:tc>
          <w:tcPr>
            <w:tcW w:w="2304" w:type="dxa"/>
            <w:shd w:val="clear" w:color="auto" w:fill="000000"/>
            <w:tcMar>
              <w:top w:w="32" w:type="dxa"/>
              <w:left w:w="90" w:type="dxa"/>
              <w:bottom w:w="32" w:type="dxa"/>
              <w:right w:w="90" w:type="dxa"/>
            </w:tcMar>
          </w:tcPr>
          <w:p w14:paraId="18E94192" w14:textId="77777777" w:rsidR="00D36264" w:rsidRDefault="00000000">
            <w:pPr>
              <w:spacing w:after="0"/>
              <w:jc w:val="center"/>
            </w:pPr>
            <w:r>
              <w:rPr>
                <w:b/>
                <w:color w:val="FFFFFF"/>
                <w:spacing w:val="15"/>
                <w:sz w:val="17"/>
              </w:rPr>
              <w:t>PLATFORM MEDIAN (4)</w:t>
            </w:r>
          </w:p>
        </w:tc>
      </w:tr>
      <w:tr w:rsidR="00D36264" w14:paraId="07FF2CEC" w14:textId="77777777">
        <w:tc>
          <w:tcPr>
            <w:tcW w:w="4896" w:type="dxa"/>
            <w:shd w:val="clear" w:color="auto" w:fill="F5F2EC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5EF12248" w14:textId="77777777" w:rsidR="00D36264" w:rsidRDefault="00000000">
            <w:pPr>
              <w:spacing w:after="0"/>
            </w:pPr>
            <w:r>
              <w:rPr>
                <w:color w:val="000000"/>
                <w:sz w:val="19"/>
              </w:rPr>
              <w:t>EV / EBITDA</w:t>
            </w:r>
          </w:p>
        </w:tc>
        <w:tc>
          <w:tcPr>
            <w:tcW w:w="1944" w:type="dxa"/>
            <w:shd w:val="clear" w:color="auto" w:fill="F5F2EC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63BD1CCA" w14:textId="77777777" w:rsidR="00D36264" w:rsidRDefault="00000000">
            <w:pPr>
              <w:spacing w:after="0"/>
              <w:jc w:val="center"/>
            </w:pPr>
            <w:r>
              <w:rPr>
                <w:b/>
                <w:color w:val="000000"/>
                <w:sz w:val="19"/>
              </w:rPr>
              <w:t>17.5x</w:t>
            </w:r>
          </w:p>
        </w:tc>
        <w:tc>
          <w:tcPr>
            <w:tcW w:w="2160" w:type="dxa"/>
            <w:shd w:val="clear" w:color="auto" w:fill="F5F2EC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69065C27" w14:textId="77777777" w:rsidR="00D36264" w:rsidRDefault="00000000">
            <w:pPr>
              <w:spacing w:after="0"/>
              <w:jc w:val="center"/>
            </w:pPr>
            <w:r>
              <w:rPr>
                <w:color w:val="000000"/>
                <w:sz w:val="19"/>
              </w:rPr>
              <w:t>22.4x</w:t>
            </w:r>
          </w:p>
        </w:tc>
        <w:tc>
          <w:tcPr>
            <w:tcW w:w="2304" w:type="dxa"/>
            <w:shd w:val="clear" w:color="auto" w:fill="F5F2EC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340A3E27" w14:textId="77777777" w:rsidR="00D36264" w:rsidRDefault="00000000">
            <w:pPr>
              <w:spacing w:after="0"/>
              <w:jc w:val="center"/>
            </w:pPr>
            <w:r>
              <w:rPr>
                <w:color w:val="000000"/>
                <w:sz w:val="19"/>
              </w:rPr>
              <w:t>21.4x</w:t>
            </w:r>
          </w:p>
        </w:tc>
      </w:tr>
      <w:tr w:rsidR="00D36264" w14:paraId="6A0198B3" w14:textId="77777777">
        <w:tc>
          <w:tcPr>
            <w:tcW w:w="4896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636B0989" w14:textId="77777777" w:rsidR="00D36264" w:rsidRDefault="00000000">
            <w:pPr>
              <w:spacing w:after="0"/>
            </w:pPr>
            <w:r>
              <w:rPr>
                <w:color w:val="000000"/>
                <w:sz w:val="19"/>
              </w:rPr>
              <w:t>Forward P/E</w:t>
            </w:r>
          </w:p>
        </w:tc>
        <w:tc>
          <w:tcPr>
            <w:tcW w:w="1944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1C59C8A1" w14:textId="77777777" w:rsidR="00D36264" w:rsidRDefault="00000000">
            <w:pPr>
              <w:spacing w:after="0"/>
              <w:jc w:val="center"/>
            </w:pPr>
            <w:r>
              <w:rPr>
                <w:b/>
                <w:color w:val="000000"/>
                <w:sz w:val="19"/>
              </w:rPr>
              <w:t>29.3x</w:t>
            </w:r>
          </w:p>
        </w:tc>
        <w:tc>
          <w:tcPr>
            <w:tcW w:w="2160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3B7285A1" w14:textId="77777777" w:rsidR="00D36264" w:rsidRDefault="00000000">
            <w:pPr>
              <w:spacing w:after="0"/>
              <w:jc w:val="center"/>
            </w:pPr>
            <w:r>
              <w:rPr>
                <w:color w:val="000000"/>
                <w:sz w:val="19"/>
              </w:rPr>
              <w:t>29.1x</w:t>
            </w:r>
          </w:p>
        </w:tc>
        <w:tc>
          <w:tcPr>
            <w:tcW w:w="2304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337D53B8" w14:textId="77777777" w:rsidR="00D36264" w:rsidRDefault="00000000">
            <w:pPr>
              <w:spacing w:after="0"/>
              <w:jc w:val="center"/>
            </w:pPr>
            <w:r>
              <w:rPr>
                <w:color w:val="000000"/>
                <w:sz w:val="19"/>
              </w:rPr>
              <w:t>25.5x</w:t>
            </w:r>
          </w:p>
        </w:tc>
      </w:tr>
      <w:tr w:rsidR="00D36264" w14:paraId="6BFBB4E5" w14:textId="77777777">
        <w:tc>
          <w:tcPr>
            <w:tcW w:w="4896" w:type="dxa"/>
            <w:shd w:val="clear" w:color="auto" w:fill="F5F2EC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5A4C0994" w14:textId="77777777" w:rsidR="00D36264" w:rsidRDefault="00000000">
            <w:pPr>
              <w:spacing w:after="0"/>
            </w:pPr>
            <w:r>
              <w:rPr>
                <w:i/>
                <w:sz w:val="19"/>
              </w:rPr>
              <w:t>EV / Revenue  (excluded as anchor)</w:t>
            </w:r>
          </w:p>
        </w:tc>
        <w:tc>
          <w:tcPr>
            <w:tcW w:w="1944" w:type="dxa"/>
            <w:shd w:val="clear" w:color="auto" w:fill="F5F2EC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32186AF4" w14:textId="77777777" w:rsidR="00D36264" w:rsidRDefault="00000000">
            <w:pPr>
              <w:spacing w:after="0"/>
              <w:jc w:val="center"/>
            </w:pPr>
            <w:r>
              <w:rPr>
                <w:i/>
                <w:sz w:val="19"/>
              </w:rPr>
              <w:t>3.7x</w:t>
            </w:r>
          </w:p>
        </w:tc>
        <w:tc>
          <w:tcPr>
            <w:tcW w:w="2160" w:type="dxa"/>
            <w:shd w:val="clear" w:color="auto" w:fill="F5F2EC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6DCBD39A" w14:textId="77777777" w:rsidR="00D36264" w:rsidRDefault="00000000">
            <w:pPr>
              <w:spacing w:after="0"/>
              <w:jc w:val="center"/>
            </w:pPr>
            <w:r>
              <w:rPr>
                <w:i/>
                <w:sz w:val="19"/>
              </w:rPr>
              <w:t>6.9x</w:t>
            </w:r>
          </w:p>
        </w:tc>
        <w:tc>
          <w:tcPr>
            <w:tcW w:w="2304" w:type="dxa"/>
            <w:shd w:val="clear" w:color="auto" w:fill="F5F2EC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3F81A74B" w14:textId="77777777" w:rsidR="00D36264" w:rsidRDefault="00000000">
            <w:pPr>
              <w:spacing w:after="0"/>
              <w:jc w:val="center"/>
            </w:pPr>
            <w:r>
              <w:rPr>
                <w:i/>
                <w:sz w:val="19"/>
              </w:rPr>
              <w:t>9.4x</w:t>
            </w:r>
          </w:p>
        </w:tc>
      </w:tr>
      <w:tr w:rsidR="00D36264" w14:paraId="79356C3E" w14:textId="77777777">
        <w:tc>
          <w:tcPr>
            <w:tcW w:w="4896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3257AE6D" w14:textId="77777777" w:rsidR="00D36264" w:rsidRDefault="00000000">
            <w:pPr>
              <w:spacing w:after="0"/>
            </w:pPr>
            <w:r>
              <w:rPr>
                <w:color w:val="000000"/>
                <w:sz w:val="19"/>
              </w:rPr>
              <w:t>Revenue growth, ’25–’28E</w:t>
            </w:r>
          </w:p>
        </w:tc>
        <w:tc>
          <w:tcPr>
            <w:tcW w:w="1944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68CB618A" w14:textId="77777777" w:rsidR="00D36264" w:rsidRDefault="00000000">
            <w:pPr>
              <w:spacing w:after="0"/>
              <w:jc w:val="center"/>
            </w:pPr>
            <w:r>
              <w:rPr>
                <w:b/>
                <w:color w:val="000000"/>
                <w:sz w:val="19"/>
              </w:rPr>
              <w:t>14.0%</w:t>
            </w:r>
          </w:p>
        </w:tc>
        <w:tc>
          <w:tcPr>
            <w:tcW w:w="2160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5D69D215" w14:textId="77777777" w:rsidR="00D36264" w:rsidRDefault="00000000">
            <w:pPr>
              <w:spacing w:after="0"/>
              <w:jc w:val="center"/>
            </w:pPr>
            <w:r>
              <w:rPr>
                <w:color w:val="000000"/>
                <w:sz w:val="19"/>
              </w:rPr>
              <w:t>17.2%</w:t>
            </w:r>
          </w:p>
        </w:tc>
        <w:tc>
          <w:tcPr>
            <w:tcW w:w="2304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3FAD5F7F" w14:textId="77777777" w:rsidR="00D36264" w:rsidRDefault="00000000">
            <w:pPr>
              <w:spacing w:after="0"/>
              <w:jc w:val="center"/>
            </w:pPr>
            <w:r>
              <w:rPr>
                <w:color w:val="000000"/>
                <w:sz w:val="19"/>
              </w:rPr>
              <w:t>18.2%</w:t>
            </w:r>
          </w:p>
        </w:tc>
      </w:tr>
      <w:tr w:rsidR="00D36264" w14:paraId="57EF7251" w14:textId="77777777">
        <w:tc>
          <w:tcPr>
            <w:tcW w:w="4896" w:type="dxa"/>
            <w:shd w:val="clear" w:color="auto" w:fill="F5F2EC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11866FF3" w14:textId="77777777" w:rsidR="00D36264" w:rsidRDefault="00000000">
            <w:pPr>
              <w:spacing w:after="0"/>
            </w:pPr>
            <w:r>
              <w:rPr>
                <w:color w:val="000000"/>
                <w:sz w:val="19"/>
              </w:rPr>
              <w:t>EBITDA margin</w:t>
            </w:r>
          </w:p>
        </w:tc>
        <w:tc>
          <w:tcPr>
            <w:tcW w:w="1944" w:type="dxa"/>
            <w:shd w:val="clear" w:color="auto" w:fill="F5F2EC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6D8186A1" w14:textId="77777777" w:rsidR="00D36264" w:rsidRDefault="00000000">
            <w:pPr>
              <w:spacing w:after="0"/>
              <w:jc w:val="center"/>
            </w:pPr>
            <w:r>
              <w:rPr>
                <w:b/>
                <w:color w:val="000000"/>
                <w:sz w:val="19"/>
              </w:rPr>
              <w:t>21.0%</w:t>
            </w:r>
          </w:p>
        </w:tc>
        <w:tc>
          <w:tcPr>
            <w:tcW w:w="2160" w:type="dxa"/>
            <w:shd w:val="clear" w:color="auto" w:fill="F5F2EC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1D16C806" w14:textId="77777777" w:rsidR="00D36264" w:rsidRDefault="00000000">
            <w:pPr>
              <w:spacing w:after="0"/>
              <w:jc w:val="center"/>
            </w:pPr>
            <w:r>
              <w:rPr>
                <w:color w:val="000000"/>
                <w:sz w:val="19"/>
              </w:rPr>
              <w:t>35.4%</w:t>
            </w:r>
          </w:p>
        </w:tc>
        <w:tc>
          <w:tcPr>
            <w:tcW w:w="2304" w:type="dxa"/>
            <w:shd w:val="clear" w:color="auto" w:fill="F5F2EC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0E0459A3" w14:textId="77777777" w:rsidR="00D36264" w:rsidRDefault="00000000">
            <w:pPr>
              <w:spacing w:after="0"/>
              <w:jc w:val="center"/>
            </w:pPr>
            <w:r>
              <w:rPr>
                <w:color w:val="000000"/>
                <w:sz w:val="19"/>
              </w:rPr>
              <w:t>44.5%</w:t>
            </w:r>
          </w:p>
        </w:tc>
      </w:tr>
      <w:tr w:rsidR="00D36264" w14:paraId="55CE2314" w14:textId="77777777">
        <w:tc>
          <w:tcPr>
            <w:tcW w:w="4896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18017ECC" w14:textId="77777777" w:rsidR="00D36264" w:rsidRDefault="00000000">
            <w:pPr>
              <w:spacing w:after="0"/>
            </w:pPr>
            <w:r>
              <w:rPr>
                <w:color w:val="000000"/>
                <w:sz w:val="19"/>
              </w:rPr>
              <w:t>ROIC</w:t>
            </w:r>
          </w:p>
        </w:tc>
        <w:tc>
          <w:tcPr>
            <w:tcW w:w="1944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0C6A04C5" w14:textId="77777777" w:rsidR="00D36264" w:rsidRDefault="00000000">
            <w:pPr>
              <w:spacing w:after="0"/>
              <w:jc w:val="center"/>
            </w:pPr>
            <w:r>
              <w:rPr>
                <w:b/>
                <w:color w:val="000000"/>
                <w:sz w:val="19"/>
              </w:rPr>
              <w:t>13.5%</w:t>
            </w:r>
          </w:p>
        </w:tc>
        <w:tc>
          <w:tcPr>
            <w:tcW w:w="2160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5A45B6EE" w14:textId="77777777" w:rsidR="00D36264" w:rsidRDefault="00000000">
            <w:pPr>
              <w:spacing w:after="0"/>
              <w:jc w:val="center"/>
            </w:pPr>
            <w:r>
              <w:rPr>
                <w:color w:val="000000"/>
                <w:sz w:val="19"/>
              </w:rPr>
              <w:t>27.2%</w:t>
            </w:r>
          </w:p>
        </w:tc>
        <w:tc>
          <w:tcPr>
            <w:tcW w:w="2304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3F87BF99" w14:textId="77777777" w:rsidR="00D36264" w:rsidRDefault="00000000">
            <w:pPr>
              <w:spacing w:after="0"/>
              <w:jc w:val="center"/>
            </w:pPr>
            <w:r>
              <w:rPr>
                <w:color w:val="000000"/>
                <w:sz w:val="19"/>
              </w:rPr>
              <w:t>29.1%</w:t>
            </w:r>
          </w:p>
        </w:tc>
      </w:tr>
      <w:tr w:rsidR="00D36264" w14:paraId="3EA8ADE6" w14:textId="77777777">
        <w:tc>
          <w:tcPr>
            <w:tcW w:w="4896" w:type="dxa"/>
            <w:shd w:val="clear" w:color="auto" w:fill="F5F2EC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60248F94" w14:textId="77777777" w:rsidR="00D36264" w:rsidRDefault="00000000">
            <w:pPr>
              <w:spacing w:after="0"/>
            </w:pPr>
            <w:r>
              <w:rPr>
                <w:color w:val="000000"/>
                <w:sz w:val="19"/>
              </w:rPr>
              <w:t>FCF yield</w:t>
            </w:r>
          </w:p>
        </w:tc>
        <w:tc>
          <w:tcPr>
            <w:tcW w:w="1944" w:type="dxa"/>
            <w:shd w:val="clear" w:color="auto" w:fill="F5F2EC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75A50E62" w14:textId="77777777" w:rsidR="00D36264" w:rsidRDefault="00000000">
            <w:pPr>
              <w:spacing w:after="0"/>
              <w:jc w:val="center"/>
            </w:pPr>
            <w:r>
              <w:rPr>
                <w:b/>
                <w:color w:val="000000"/>
                <w:sz w:val="19"/>
              </w:rPr>
              <w:t>−0.1%</w:t>
            </w:r>
          </w:p>
        </w:tc>
        <w:tc>
          <w:tcPr>
            <w:tcW w:w="2160" w:type="dxa"/>
            <w:shd w:val="clear" w:color="auto" w:fill="F5F2EC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5825BBD6" w14:textId="77777777" w:rsidR="00D36264" w:rsidRDefault="00000000">
            <w:pPr>
              <w:spacing w:after="0"/>
              <w:jc w:val="center"/>
            </w:pPr>
            <w:r>
              <w:rPr>
                <w:color w:val="000000"/>
                <w:sz w:val="19"/>
              </w:rPr>
              <w:t>2.4%</w:t>
            </w:r>
          </w:p>
        </w:tc>
        <w:tc>
          <w:tcPr>
            <w:tcW w:w="2304" w:type="dxa"/>
            <w:shd w:val="clear" w:color="auto" w:fill="F5F2EC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3AA3F2DC" w14:textId="77777777" w:rsidR="00D36264" w:rsidRDefault="00000000">
            <w:pPr>
              <w:spacing w:after="0"/>
              <w:jc w:val="center"/>
            </w:pPr>
            <w:r>
              <w:rPr>
                <w:color w:val="000000"/>
                <w:sz w:val="19"/>
              </w:rPr>
              <w:t>2.7%</w:t>
            </w:r>
          </w:p>
        </w:tc>
      </w:tr>
    </w:tbl>
    <w:p w14:paraId="6824316F" w14:textId="77777777" w:rsidR="00D36264" w:rsidRDefault="00000000">
      <w:pPr>
        <w:spacing w:before="140"/>
      </w:pPr>
      <w:r>
        <w:rPr>
          <w:b/>
          <w:color w:val="000000"/>
          <w:sz w:val="22"/>
        </w:rPr>
        <w:t>The Read</w:t>
      </w:r>
    </w:p>
    <w:p w14:paraId="4F896A35" w14:textId="77777777" w:rsidR="00D36264" w:rsidRDefault="00000000">
      <w:r>
        <w:t>On forward earnings, Amazon trades on the peer median near 29x — fairly valued against the platform group. On EV/EBITDA it screens roughly 20% cheap, 17.5x versus a 22.4x peer median, which lifts our blended implied value to about $270 per share, or 11% above the current price. Taken alone, that looks like a discount worth owning.</w:t>
      </w:r>
    </w:p>
    <w:p w14:paraId="65BC48E5" w14:textId="48DA0281" w:rsidR="00D36264" w:rsidRDefault="00991CBB">
      <w:r>
        <w:br/>
      </w:r>
      <w:r w:rsidR="00000000">
        <w:t xml:space="preserve">It mostly is not. The EV/EBITDA gap is largely mechanical: EBITDA adds back the depreciation Amazon’s record capital spending is inflating, while most peers carry lighter capex. Adjust for it through free cash flow and the discount closes — Amazon’s FCF yield is negative while the peer median is positive. Amazon also earns a lower ROIC (13.5%) and a lower EBITDA margin (21%) than the platform group, which warrants part of the gap. The </w:t>
      </w:r>
      <w:proofErr w:type="gramStart"/>
      <w:r w:rsidR="00000000">
        <w:t>relative-value</w:t>
      </w:r>
      <w:proofErr w:type="gramEnd"/>
      <w:r w:rsidR="00000000">
        <w:t xml:space="preserve"> read is neutral, not a buy signal.</w:t>
      </w:r>
    </w:p>
    <w:p w14:paraId="13BE08EC" w14:textId="77777777" w:rsidR="00991CBB" w:rsidRDefault="00991CBB"/>
    <w:tbl>
      <w:tblPr>
        <w:tblW w:w="0" w:type="auto"/>
        <w:tblLook w:val="04A0" w:firstRow="1" w:lastRow="0" w:firstColumn="1" w:lastColumn="0" w:noHBand="0" w:noVBand="1"/>
      </w:tblPr>
      <w:tblGrid>
        <w:gridCol w:w="5400"/>
        <w:gridCol w:w="5400"/>
      </w:tblGrid>
      <w:tr w:rsidR="00D36264" w14:paraId="22714771" w14:textId="77777777">
        <w:tc>
          <w:tcPr>
            <w:tcW w:w="5400" w:type="dxa"/>
            <w:tcMar>
              <w:top w:w="40" w:type="dxa"/>
              <w:left w:w="0" w:type="dxa"/>
              <w:bottom w:w="40" w:type="dxa"/>
              <w:right w:w="180" w:type="dxa"/>
            </w:tcMar>
          </w:tcPr>
          <w:p w14:paraId="03456AA3" w14:textId="77777777" w:rsidR="00D36264" w:rsidRDefault="00000000">
            <w:pPr>
              <w:spacing w:after="0"/>
            </w:pPr>
            <w:r>
              <w:rPr>
                <w:b/>
                <w:color w:val="000000"/>
                <w:sz w:val="22"/>
              </w:rPr>
              <w:t>What would re-rate AMZN higher</w:t>
            </w:r>
          </w:p>
          <w:p w14:paraId="1918A2D8" w14:textId="77777777" w:rsidR="00D36264" w:rsidRDefault="00000000">
            <w:pPr>
              <w:spacing w:before="40" w:after="0"/>
            </w:pPr>
            <w:r>
              <w:rPr>
                <w:sz w:val="19"/>
              </w:rPr>
              <w:t>•  AWS margin gains closing the ROIC gap to the platforms.</w:t>
            </w:r>
          </w:p>
          <w:p w14:paraId="612BF1B7" w14:textId="77777777" w:rsidR="00D36264" w:rsidRDefault="00000000">
            <w:pPr>
              <w:spacing w:before="40" w:after="0"/>
            </w:pPr>
            <w:r>
              <w:rPr>
                <w:sz w:val="19"/>
              </w:rPr>
              <w:t>•  Capex moderation turning free cash flow positive.</w:t>
            </w:r>
          </w:p>
          <w:p w14:paraId="6DE4E1A1" w14:textId="77777777" w:rsidR="00D36264" w:rsidRDefault="00000000">
            <w:pPr>
              <w:spacing w:before="40" w:after="0"/>
            </w:pPr>
            <w:r>
              <w:rPr>
                <w:sz w:val="19"/>
              </w:rPr>
              <w:t>•  Advertising mix lifting blended EBITDA margin.</w:t>
            </w:r>
          </w:p>
        </w:tc>
        <w:tc>
          <w:tcPr>
            <w:tcW w:w="5400" w:type="dxa"/>
            <w:tcMar>
              <w:top w:w="40" w:type="dxa"/>
              <w:left w:w="180" w:type="dxa"/>
              <w:bottom w:w="40" w:type="dxa"/>
              <w:right w:w="0" w:type="dxa"/>
            </w:tcMar>
          </w:tcPr>
          <w:p w14:paraId="00B0C9C4" w14:textId="77777777" w:rsidR="00D36264" w:rsidRDefault="00000000">
            <w:pPr>
              <w:spacing w:after="0"/>
            </w:pPr>
            <w:r>
              <w:rPr>
                <w:b/>
                <w:color w:val="000000"/>
                <w:sz w:val="22"/>
              </w:rPr>
              <w:t>Read the comps with care</w:t>
            </w:r>
          </w:p>
          <w:p w14:paraId="19390373" w14:textId="77777777" w:rsidR="00D36264" w:rsidRDefault="00000000">
            <w:pPr>
              <w:spacing w:before="40" w:after="0"/>
            </w:pPr>
            <w:r>
              <w:rPr>
                <w:sz w:val="19"/>
              </w:rPr>
              <w:t>•  EV/EBITDA flatters AMZN vs. lighter-capex peers.</w:t>
            </w:r>
          </w:p>
          <w:p w14:paraId="3B4622CD" w14:textId="77777777" w:rsidR="00D36264" w:rsidRDefault="00000000">
            <w:pPr>
              <w:spacing w:before="40" w:after="0"/>
            </w:pPr>
            <w:r>
              <w:rPr>
                <w:sz w:val="19"/>
              </w:rPr>
              <w:t>•  AAPL multiples are buyback-distorted; BABA carries a China discount; MELI FCF is inflated by fintech float.</w:t>
            </w:r>
          </w:p>
          <w:p w14:paraId="0CB1F784" w14:textId="2E7F3981" w:rsidR="00D36264" w:rsidRPr="00991CBB" w:rsidRDefault="00000000">
            <w:pPr>
              <w:spacing w:before="40" w:after="0"/>
              <w:rPr>
                <w:sz w:val="10"/>
                <w:szCs w:val="12"/>
              </w:rPr>
            </w:pPr>
            <w:r>
              <w:rPr>
                <w:sz w:val="19"/>
              </w:rPr>
              <w:t>•  Relative value ≠ intrinsic: our DCF implies ~$148.</w:t>
            </w:r>
            <w:r w:rsidR="00991CBB">
              <w:rPr>
                <w:sz w:val="19"/>
              </w:rPr>
              <w:br/>
            </w:r>
          </w:p>
        </w:tc>
      </w:tr>
    </w:tbl>
    <w:p w14:paraId="6ECE6E46" w14:textId="77777777" w:rsidR="00D36264" w:rsidRDefault="00D36264">
      <w:pPr>
        <w:pBdr>
          <w:top w:val="single" w:sz="6" w:space="2" w:color="9B9EA4"/>
        </w:pBdr>
        <w:spacing w:before="100" w:after="0"/>
      </w:pPr>
    </w:p>
    <w:p w14:paraId="0069646D" w14:textId="77777777" w:rsidR="00D36264" w:rsidRDefault="00000000">
      <w:pPr>
        <w:spacing w:after="0"/>
      </w:pPr>
      <w:r>
        <w:rPr>
          <w:i/>
          <w:sz w:val="15"/>
        </w:rPr>
        <w:t>Prepared by the Purdue SMIF for educational purposes. Trailing-twelve-month financials and market data as of June 9, 2026 (WMT/MELI last close June 5); company filings and S&amp;P Global Market Intelligence via StockAnalysis.com. Multiples and implied values are estimates that depend on consensus inputs and change with prices and revisions. Not investment advice.</w:t>
      </w:r>
    </w:p>
    <w:sectPr w:rsidR="00D36264" w:rsidSect="00034616">
      <w:pgSz w:w="12240" w:h="15840"/>
      <w:pgMar w:top="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8850094">
    <w:abstractNumId w:val="8"/>
  </w:num>
  <w:num w:numId="2" w16cid:durableId="333841210">
    <w:abstractNumId w:val="6"/>
  </w:num>
  <w:num w:numId="3" w16cid:durableId="357045687">
    <w:abstractNumId w:val="5"/>
  </w:num>
  <w:num w:numId="4" w16cid:durableId="215970085">
    <w:abstractNumId w:val="4"/>
  </w:num>
  <w:num w:numId="5" w16cid:durableId="1961060957">
    <w:abstractNumId w:val="7"/>
  </w:num>
  <w:num w:numId="6" w16cid:durableId="1052193250">
    <w:abstractNumId w:val="3"/>
  </w:num>
  <w:num w:numId="7" w16cid:durableId="290670558">
    <w:abstractNumId w:val="2"/>
  </w:num>
  <w:num w:numId="8" w16cid:durableId="1060639670">
    <w:abstractNumId w:val="1"/>
  </w:num>
  <w:num w:numId="9" w16cid:durableId="63310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91CBB"/>
    <w:rsid w:val="00AA1D8D"/>
    <w:rsid w:val="00B47730"/>
    <w:rsid w:val="00CB0664"/>
    <w:rsid w:val="00CB1DC1"/>
    <w:rsid w:val="00D36264"/>
    <w:rsid w:val="00D82452"/>
    <w:rsid w:val="00EF64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CF0339"/>
  <w14:defaultImageDpi w14:val="300"/>
  <w15:docId w15:val="{9856BCBD-8A6E-400C-B010-829DDD26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40" w:line="240" w:lineRule="auto"/>
    </w:pPr>
    <w:rPr>
      <w:rFonts w:ascii="Calibri" w:hAnsi="Calibri"/>
      <w:color w:val="6F727B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Ian Y Teh</cp:lastModifiedBy>
  <cp:revision>4</cp:revision>
  <dcterms:created xsi:type="dcterms:W3CDTF">2026-06-10T07:02:00Z</dcterms:created>
  <dcterms:modified xsi:type="dcterms:W3CDTF">2026-06-10T07:04:00Z</dcterms:modified>
  <cp:category/>
</cp:coreProperties>
</file>